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B" w:rsidRPr="007B1F93" w:rsidRDefault="00EF5D8B" w:rsidP="007B1F93">
      <w:pPr>
        <w:spacing w:after="0" w:line="36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7B1F93">
        <w:rPr>
          <w:rFonts w:ascii="Arial" w:hAnsi="Arial" w:cs="Arial"/>
          <w:b/>
          <w:bCs/>
        </w:rPr>
        <w:t>Daniel Ludwik</w:t>
      </w:r>
    </w:p>
    <w:p w:rsidR="00EF5D8B" w:rsidRPr="007B1F93" w:rsidRDefault="00EF5D8B" w:rsidP="007B1F93">
      <w:pPr>
        <w:spacing w:after="0" w:line="360" w:lineRule="auto"/>
        <w:jc w:val="right"/>
        <w:rPr>
          <w:rFonts w:ascii="Arial" w:hAnsi="Arial" w:cs="Arial"/>
        </w:rPr>
      </w:pPr>
      <w:r w:rsidRPr="007B1F93">
        <w:rPr>
          <w:rFonts w:ascii="Arial" w:hAnsi="Arial" w:cs="Arial"/>
        </w:rPr>
        <w:t>Teologia pastoralna, rok IV</w:t>
      </w:r>
    </w:p>
    <w:p w:rsidR="00EF5D8B" w:rsidRPr="007B1F93" w:rsidRDefault="00EF5D8B" w:rsidP="007B1F93">
      <w:pPr>
        <w:spacing w:after="0"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spacing w:after="0"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color w:val="2F5496"/>
          <w:sz w:val="36"/>
          <w:szCs w:val="36"/>
        </w:rPr>
      </w:pPr>
      <w:r w:rsidRPr="007B1F93">
        <w:rPr>
          <w:rFonts w:ascii="Arial" w:hAnsi="Arial" w:cs="Arial"/>
          <w:b/>
          <w:bCs/>
          <w:color w:val="2F5496"/>
          <w:sz w:val="36"/>
          <w:szCs w:val="36"/>
        </w:rPr>
        <w:t>SCHEMAT SCENARIUSZA LEKCJI RELIGII</w:t>
      </w:r>
    </w:p>
    <w:p w:rsidR="00EF5D8B" w:rsidRPr="007B1F93" w:rsidRDefault="00EF5D8B" w:rsidP="007B1F93">
      <w:pPr>
        <w:spacing w:after="0" w:line="360" w:lineRule="auto"/>
        <w:jc w:val="right"/>
        <w:rPr>
          <w:rFonts w:ascii="Arial" w:hAnsi="Arial" w:cs="Arial"/>
          <w:color w:val="A6A6A6"/>
          <w:sz w:val="24"/>
          <w:szCs w:val="24"/>
        </w:rPr>
      </w:pPr>
      <w:r w:rsidRPr="007B1F93">
        <w:rPr>
          <w:rFonts w:ascii="Arial" w:hAnsi="Arial" w:cs="Arial"/>
          <w:color w:val="A6A6A6"/>
          <w:sz w:val="24"/>
          <w:szCs w:val="24"/>
        </w:rPr>
        <w:t>Wydział Teologiczny Uniwersytetu Śląskiego</w:t>
      </w:r>
    </w:p>
    <w:p w:rsidR="00EF5D8B" w:rsidRPr="007B1F93" w:rsidRDefault="00EF5D8B" w:rsidP="007B1F93">
      <w:pPr>
        <w:spacing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7B1F93">
        <w:rPr>
          <w:rFonts w:ascii="Arial" w:hAnsi="Arial" w:cs="Arial"/>
          <w:b/>
          <w:bCs/>
          <w:color w:val="2F5496"/>
          <w:sz w:val="24"/>
          <w:szCs w:val="24"/>
        </w:rPr>
        <w:t>Część ogólna</w:t>
      </w:r>
    </w:p>
    <w:p w:rsidR="00EF5D8B" w:rsidRPr="007B1F93" w:rsidRDefault="00EF5D8B" w:rsidP="007B1F93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7B1F93">
        <w:rPr>
          <w:rFonts w:ascii="Arial" w:hAnsi="Arial" w:cs="Arial"/>
        </w:rPr>
        <w:t xml:space="preserve">Szkoła: </w:t>
      </w:r>
      <w:r w:rsidRPr="007B1F93">
        <w:rPr>
          <w:rFonts w:ascii="Arial" w:hAnsi="Arial" w:cs="Arial"/>
        </w:rPr>
        <w:tab/>
        <w:t xml:space="preserve">podstawowa </w:t>
      </w:r>
    </w:p>
    <w:p w:rsidR="00EF5D8B" w:rsidRPr="007B1F93" w:rsidRDefault="00EF5D8B" w:rsidP="007B1F93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7B1F93">
        <w:rPr>
          <w:rFonts w:ascii="Arial" w:hAnsi="Arial" w:cs="Arial"/>
        </w:rPr>
        <w:t xml:space="preserve">Klasa: </w:t>
      </w:r>
      <w:r w:rsidRPr="007B1F93">
        <w:rPr>
          <w:rFonts w:ascii="Arial" w:hAnsi="Arial" w:cs="Arial"/>
        </w:rPr>
        <w:tab/>
      </w:r>
      <w:r w:rsidRPr="007B1F93">
        <w:rPr>
          <w:rFonts w:ascii="Arial" w:hAnsi="Arial" w:cs="Arial"/>
        </w:rPr>
        <w:tab/>
        <w:t>1</w:t>
      </w:r>
      <w:r>
        <w:rPr>
          <w:rFonts w:ascii="Arial" w:hAnsi="Arial" w:cs="Arial"/>
        </w:rPr>
        <w:t>–</w:t>
      </w:r>
      <w:r w:rsidRPr="007B1F93">
        <w:rPr>
          <w:rFonts w:ascii="Arial" w:hAnsi="Arial" w:cs="Arial"/>
        </w:rPr>
        <w:t>4</w:t>
      </w:r>
      <w:r w:rsidRPr="007B1F93">
        <w:rPr>
          <w:rFonts w:ascii="Arial" w:hAnsi="Arial" w:cs="Arial"/>
        </w:rPr>
        <w:tab/>
        <w:t xml:space="preserve">   </w:t>
      </w:r>
    </w:p>
    <w:p w:rsidR="00EF5D8B" w:rsidRPr="007B1F93" w:rsidRDefault="00EF5D8B" w:rsidP="007B1F93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>
        <w:rPr>
          <w:rFonts w:ascii="Arial" w:hAnsi="Arial" w:cs="Arial"/>
        </w:rPr>
        <w:t>Lekcja nr</w:t>
      </w:r>
      <w:r w:rsidRPr="007B1F93">
        <w:rPr>
          <w:rFonts w:ascii="Arial" w:hAnsi="Arial" w:cs="Arial"/>
        </w:rPr>
        <w:tab/>
        <w:t xml:space="preserve"> 1</w:t>
      </w:r>
    </w:p>
    <w:p w:rsidR="00EF5D8B" w:rsidRPr="007B1F93" w:rsidRDefault="00EF5D8B" w:rsidP="007B1F93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7B1F93">
        <w:rPr>
          <w:rFonts w:ascii="Arial" w:hAnsi="Arial" w:cs="Arial"/>
        </w:rPr>
        <w:t>Dział programowy: Katechezy specjalne o ks. Janie Masze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</w:rPr>
      </w:pPr>
      <w:r w:rsidRPr="007B1F93">
        <w:rPr>
          <w:rFonts w:ascii="Arial" w:hAnsi="Arial" w:cs="Arial"/>
        </w:rPr>
        <w:br/>
      </w:r>
      <w:r w:rsidRPr="007B1F93">
        <w:rPr>
          <w:rFonts w:ascii="Arial" w:hAnsi="Arial" w:cs="Arial"/>
          <w:b/>
          <w:bCs/>
          <w:color w:val="2F5496"/>
          <w:sz w:val="24"/>
          <w:szCs w:val="24"/>
        </w:rPr>
        <w:t>Temat lekcji:</w:t>
      </w:r>
      <w:r w:rsidRPr="007B1F93">
        <w:rPr>
          <w:rFonts w:ascii="Arial" w:hAnsi="Arial" w:cs="Arial"/>
          <w:color w:val="2F5496"/>
          <w:sz w:val="24"/>
          <w:szCs w:val="24"/>
        </w:rPr>
        <w:t xml:space="preserve"> </w:t>
      </w:r>
      <w:r w:rsidRPr="007B1F93">
        <w:rPr>
          <w:rFonts w:ascii="Arial" w:hAnsi="Arial" w:cs="Arial"/>
        </w:rPr>
        <w:t>Święty, czyli niezwykły zwykły człowiek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</w:rPr>
      </w:pPr>
      <w:r w:rsidRPr="007B1F93">
        <w:rPr>
          <w:rFonts w:ascii="Arial" w:hAnsi="Arial" w:cs="Arial"/>
        </w:rPr>
        <w:br/>
      </w:r>
      <w:r w:rsidRPr="007B1F93">
        <w:rPr>
          <w:rFonts w:ascii="Arial" w:hAnsi="Arial" w:cs="Arial"/>
          <w:b/>
          <w:bCs/>
          <w:color w:val="2F5496"/>
          <w:sz w:val="24"/>
          <w:szCs w:val="24"/>
        </w:rPr>
        <w:t xml:space="preserve">Cele katechetyczne </w:t>
      </w:r>
      <w:r w:rsidRPr="007B1F93">
        <w:rPr>
          <w:rFonts w:ascii="Arial" w:hAnsi="Arial" w:cs="Arial"/>
        </w:rPr>
        <w:t>(wymagania ogólne)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  <w:b/>
          <w:bCs/>
        </w:rPr>
      </w:pPr>
      <w:r w:rsidRPr="007B1F93">
        <w:rPr>
          <w:rFonts w:ascii="Arial" w:hAnsi="Arial" w:cs="Arial"/>
        </w:rPr>
        <w:t>Poznanie</w:t>
      </w:r>
      <w:r>
        <w:rPr>
          <w:rFonts w:ascii="Arial" w:hAnsi="Arial" w:cs="Arial"/>
        </w:rPr>
        <w:t>,</w:t>
      </w:r>
      <w:r w:rsidRPr="007B1F93">
        <w:rPr>
          <w:rFonts w:ascii="Arial" w:hAnsi="Arial" w:cs="Arial"/>
        </w:rPr>
        <w:t xml:space="preserve"> co to znaczy być świętym, poznanie</w:t>
      </w:r>
      <w:r>
        <w:rPr>
          <w:rFonts w:ascii="Arial" w:hAnsi="Arial" w:cs="Arial"/>
        </w:rPr>
        <w:t>,</w:t>
      </w:r>
      <w:r w:rsidRPr="007B1F93">
        <w:rPr>
          <w:rFonts w:ascii="Arial" w:hAnsi="Arial" w:cs="Arial"/>
        </w:rPr>
        <w:t xml:space="preserve"> co to znaczy być bezinteresownym, o</w:t>
      </w:r>
      <w:r>
        <w:rPr>
          <w:rFonts w:ascii="Arial" w:hAnsi="Arial" w:cs="Arial"/>
        </w:rPr>
        <w:t>d</w:t>
      </w:r>
      <w:r w:rsidRPr="007B1F93">
        <w:rPr>
          <w:rFonts w:ascii="Arial" w:hAnsi="Arial" w:cs="Arial"/>
        </w:rPr>
        <w:t>krycie bezinteresownej miłości Pana Boga względem człowieka.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</w:rPr>
      </w:pPr>
      <w:r w:rsidRPr="007B1F93">
        <w:rPr>
          <w:rFonts w:ascii="Arial" w:hAnsi="Arial" w:cs="Arial"/>
        </w:rPr>
        <w:br/>
      </w:r>
      <w:r w:rsidRPr="007B1F93">
        <w:rPr>
          <w:rFonts w:ascii="Arial" w:hAnsi="Arial" w:cs="Arial"/>
          <w:b/>
          <w:bCs/>
          <w:color w:val="2F5496"/>
          <w:sz w:val="24"/>
          <w:szCs w:val="24"/>
        </w:rPr>
        <w:t>Treści  nauczania</w:t>
      </w:r>
      <w:r w:rsidRPr="007B1F93">
        <w:rPr>
          <w:rFonts w:ascii="Arial" w:hAnsi="Arial" w:cs="Arial"/>
          <w:color w:val="2F5496"/>
          <w:sz w:val="24"/>
          <w:szCs w:val="24"/>
        </w:rPr>
        <w:t xml:space="preserve"> </w:t>
      </w:r>
      <w:r w:rsidRPr="007B1F93">
        <w:rPr>
          <w:rFonts w:ascii="Arial" w:hAnsi="Arial" w:cs="Arial"/>
        </w:rPr>
        <w:t>(wymagania szczegółowe)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</w:rPr>
      </w:pPr>
      <w:r w:rsidRPr="007B1F93">
        <w:rPr>
          <w:rFonts w:ascii="Arial" w:hAnsi="Arial" w:cs="Arial"/>
          <w:b/>
          <w:bCs/>
        </w:rPr>
        <w:t>Uczeń:</w:t>
      </w:r>
      <w:r w:rsidRPr="007B1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7B1F93">
        <w:rPr>
          <w:rFonts w:ascii="Arial" w:hAnsi="Arial" w:cs="Arial"/>
        </w:rPr>
        <w:t>różnia dobre wychowanie od bezinteresownego postępowania względem bliźnich, wyjaśnia</w:t>
      </w:r>
      <w:r>
        <w:rPr>
          <w:rFonts w:ascii="Arial" w:hAnsi="Arial" w:cs="Arial"/>
        </w:rPr>
        <w:t>,</w:t>
      </w:r>
      <w:r w:rsidRPr="007B1F93">
        <w:rPr>
          <w:rFonts w:ascii="Arial" w:hAnsi="Arial" w:cs="Arial"/>
        </w:rPr>
        <w:t xml:space="preserve"> kim jest człowiek święty, określa stosunek Pana Boga do człowieka, umie </w:t>
      </w:r>
      <w:r>
        <w:rPr>
          <w:rFonts w:ascii="Arial" w:hAnsi="Arial" w:cs="Arial"/>
        </w:rPr>
        <w:t>za</w:t>
      </w:r>
      <w:r w:rsidRPr="007B1F93">
        <w:rPr>
          <w:rFonts w:ascii="Arial" w:hAnsi="Arial" w:cs="Arial"/>
        </w:rPr>
        <w:t>śpiewać piosenkę „Skarb” zespołu Małe TGD, wybiera sobie do realizacji bezinteresowne działania.</w:t>
      </w:r>
    </w:p>
    <w:p w:rsidR="00EF5D8B" w:rsidRPr="007B1F93" w:rsidRDefault="00EF5D8B" w:rsidP="007B1F93">
      <w:pPr>
        <w:spacing w:after="60"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spacing w:after="60" w:line="360" w:lineRule="auto"/>
        <w:ind w:firstLine="708"/>
        <w:rPr>
          <w:rFonts w:ascii="Arial" w:hAnsi="Arial" w:cs="Arial"/>
          <w:color w:val="2F5496"/>
        </w:rPr>
      </w:pPr>
      <w:r w:rsidRPr="007B1F93">
        <w:rPr>
          <w:rFonts w:ascii="Arial" w:hAnsi="Arial" w:cs="Arial"/>
          <w:b/>
          <w:bCs/>
          <w:color w:val="2F5496"/>
          <w:sz w:val="24"/>
          <w:szCs w:val="24"/>
        </w:rPr>
        <w:t>Metody nauczania/uczenia się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</w:rPr>
      </w:pPr>
      <w:r w:rsidRPr="007B1F93">
        <w:rPr>
          <w:rFonts w:ascii="Arial" w:hAnsi="Arial" w:cs="Arial"/>
        </w:rPr>
        <w:t>Prezentacja multimedialna (Prezi), burza mózgów, pogadanka, śpiewanie piosenki, praca z tekstem, pisanie, kreatywne myślenie</w:t>
      </w:r>
      <w:r>
        <w:rPr>
          <w:rFonts w:ascii="Arial" w:hAnsi="Arial" w:cs="Arial"/>
        </w:rPr>
        <w:t>.</w:t>
      </w:r>
    </w:p>
    <w:p w:rsidR="00EF5D8B" w:rsidRPr="007B1F93" w:rsidRDefault="00EF5D8B" w:rsidP="007B1F93">
      <w:pPr>
        <w:spacing w:after="60" w:line="360" w:lineRule="auto"/>
        <w:ind w:firstLine="708"/>
        <w:rPr>
          <w:rFonts w:ascii="Arial" w:hAnsi="Arial" w:cs="Arial"/>
        </w:rPr>
      </w:pPr>
      <w:r w:rsidRPr="007B1F93">
        <w:rPr>
          <w:rFonts w:ascii="Arial" w:hAnsi="Arial" w:cs="Arial"/>
          <w:b/>
          <w:bCs/>
        </w:rPr>
        <w:t>Formy organizacyjne nauczania/uczenia się</w:t>
      </w:r>
      <w:r w:rsidRPr="007B1F93">
        <w:rPr>
          <w:rFonts w:ascii="Arial" w:hAnsi="Arial" w:cs="Arial"/>
        </w:rPr>
        <w:t>: frontalna i indywidualna.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</w:rPr>
      </w:pPr>
      <w:r w:rsidRPr="007B1F93">
        <w:rPr>
          <w:rFonts w:ascii="Arial" w:hAnsi="Arial" w:cs="Arial"/>
        </w:rPr>
        <w:br/>
      </w:r>
      <w:r w:rsidRPr="007B1F93">
        <w:rPr>
          <w:rFonts w:ascii="Arial" w:hAnsi="Arial" w:cs="Arial"/>
          <w:b/>
          <w:bCs/>
          <w:color w:val="2F5496"/>
          <w:sz w:val="24"/>
          <w:szCs w:val="24"/>
        </w:rPr>
        <w:t>Środki dydaktyczne</w:t>
      </w:r>
      <w:r w:rsidRPr="007B1F93">
        <w:rPr>
          <w:rFonts w:ascii="Arial" w:hAnsi="Arial" w:cs="Arial"/>
        </w:rPr>
        <w:t>: Pismo Święte, prezentacja multimedialna (Prezi), małe kolorowe karteczki, tablica, serwis YouTube, komputer z dostępem do internetu, projektor do wyświetl</w:t>
      </w:r>
      <w:r>
        <w:rPr>
          <w:rFonts w:ascii="Arial" w:hAnsi="Arial" w:cs="Arial"/>
        </w:rPr>
        <w:t>a</w:t>
      </w:r>
      <w:r w:rsidRPr="007B1F93">
        <w:rPr>
          <w:rFonts w:ascii="Arial" w:hAnsi="Arial" w:cs="Arial"/>
        </w:rPr>
        <w:t>nia prezentacji, głośniki</w:t>
      </w:r>
      <w:r>
        <w:rPr>
          <w:rFonts w:ascii="Arial" w:hAnsi="Arial" w:cs="Arial"/>
        </w:rPr>
        <w:t>.</w:t>
      </w:r>
    </w:p>
    <w:p w:rsidR="00EF5D8B" w:rsidRPr="007B1F93" w:rsidRDefault="00EF5D8B" w:rsidP="007B1F93">
      <w:pPr>
        <w:spacing w:after="60"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</w:rPr>
      </w:pPr>
      <w:r w:rsidRPr="007B1F93">
        <w:rPr>
          <w:rFonts w:ascii="Arial" w:hAnsi="Arial" w:cs="Arial"/>
        </w:rPr>
        <w:t>______________</w:t>
      </w:r>
    </w:p>
    <w:p w:rsidR="00EF5D8B" w:rsidRPr="007B1F93" w:rsidRDefault="00EF5D8B" w:rsidP="007B1F93">
      <w:pPr>
        <w:spacing w:after="60" w:line="360" w:lineRule="auto"/>
        <w:ind w:left="708"/>
        <w:rPr>
          <w:rFonts w:ascii="Arial" w:hAnsi="Arial" w:cs="Arial"/>
          <w:b/>
          <w:bCs/>
          <w:color w:val="2F5496"/>
        </w:rPr>
      </w:pPr>
      <w:r w:rsidRPr="007B1F93">
        <w:rPr>
          <w:rFonts w:ascii="Arial" w:hAnsi="Arial" w:cs="Arial"/>
          <w:b/>
          <w:bCs/>
          <w:color w:val="2F5496"/>
        </w:rPr>
        <w:t xml:space="preserve">Literatura metodyczna wykorzystana do opracowania scenariusza: </w:t>
      </w:r>
    </w:p>
    <w:p w:rsidR="00EF5D8B" w:rsidRPr="007B1F93" w:rsidRDefault="00EF5D8B" w:rsidP="007B1F93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Cs/>
        </w:rPr>
        <w:t>„</w:t>
      </w:r>
      <w:r w:rsidRPr="00F25717">
        <w:rPr>
          <w:rFonts w:ascii="Arial" w:hAnsi="Arial" w:cs="Arial"/>
          <w:iCs/>
        </w:rPr>
        <w:t xml:space="preserve">Żyłem krótko, lecz cel swój osiągnąłem. </w:t>
      </w:r>
      <w:r w:rsidRPr="00DB5C1B">
        <w:rPr>
          <w:rFonts w:ascii="Arial" w:hAnsi="Arial" w:cs="Arial"/>
          <w:iCs/>
          <w:lang w:val="en-US"/>
        </w:rPr>
        <w:t>Ks. Jan Macha (1914–1942)”</w:t>
      </w:r>
      <w:r w:rsidRPr="00DB5C1B">
        <w:rPr>
          <w:rFonts w:ascii="Arial" w:hAnsi="Arial" w:cs="Arial"/>
          <w:lang w:val="en-US"/>
        </w:rPr>
        <w:t xml:space="preserve">, red. </w:t>
      </w:r>
      <w:r w:rsidRPr="007B1F93">
        <w:rPr>
          <w:rFonts w:ascii="Arial" w:hAnsi="Arial" w:cs="Arial"/>
          <w:lang w:val="en-US"/>
        </w:rPr>
        <w:t xml:space="preserve">J. Myszor, Emmanuel, Katowice 2014; </w:t>
      </w:r>
    </w:p>
    <w:p w:rsidR="00EF5D8B" w:rsidRPr="007B1F93" w:rsidRDefault="00EF5D8B" w:rsidP="007B1F93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</w:rPr>
      </w:pPr>
      <w:r w:rsidRPr="007B1F93">
        <w:rPr>
          <w:rFonts w:ascii="Arial" w:hAnsi="Arial" w:cs="Arial"/>
        </w:rPr>
        <w:t xml:space="preserve">Pismo Święte; </w:t>
      </w:r>
    </w:p>
    <w:p w:rsidR="00EF5D8B" w:rsidRPr="007B1F93" w:rsidRDefault="00EF5D8B" w:rsidP="007B1F93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</w:rPr>
      </w:pPr>
      <w:r w:rsidRPr="007B1F93">
        <w:rPr>
          <w:rFonts w:ascii="Arial" w:hAnsi="Arial" w:cs="Arial"/>
        </w:rPr>
        <w:t xml:space="preserve">Piosenka: Małe TGD, </w:t>
      </w:r>
      <w:r>
        <w:rPr>
          <w:rFonts w:ascii="Arial" w:hAnsi="Arial" w:cs="Arial"/>
        </w:rPr>
        <w:t>„</w:t>
      </w:r>
      <w:r w:rsidRPr="00F25717">
        <w:rPr>
          <w:rFonts w:ascii="Arial" w:hAnsi="Arial" w:cs="Arial"/>
          <w:iCs/>
        </w:rPr>
        <w:t>Skarb</w:t>
      </w:r>
      <w:r>
        <w:rPr>
          <w:rFonts w:ascii="Arial" w:hAnsi="Arial" w:cs="Arial"/>
          <w:i/>
          <w:iCs/>
        </w:rPr>
        <w:t>”</w:t>
      </w:r>
      <w:r w:rsidRPr="007B1F93">
        <w:rPr>
          <w:rFonts w:ascii="Arial" w:hAnsi="Arial" w:cs="Arial"/>
        </w:rPr>
        <w:t>, https://youtu.be/Gh3H5ms0QjU</w:t>
      </w:r>
    </w:p>
    <w:p w:rsidR="00EF5D8B" w:rsidRPr="007B1F93" w:rsidRDefault="00EF5D8B" w:rsidP="007B1F93">
      <w:pPr>
        <w:pStyle w:val="ListParagraph"/>
        <w:numPr>
          <w:ilvl w:val="0"/>
          <w:numId w:val="4"/>
        </w:numPr>
        <w:spacing w:after="60" w:line="360" w:lineRule="auto"/>
        <w:rPr>
          <w:rFonts w:ascii="Arial" w:hAnsi="Arial" w:cs="Arial"/>
        </w:rPr>
      </w:pPr>
      <w:r w:rsidRPr="007B1F93">
        <w:rPr>
          <w:rFonts w:ascii="Arial" w:hAnsi="Arial" w:cs="Arial"/>
        </w:rPr>
        <w:t>Prezentacja (Prezi): https://prezi.com/sc6ztp5-4ijm/present/?auth_key=vwapcyo&amp;follow=_hh9vyztelwm</w:t>
      </w:r>
    </w:p>
    <w:p w:rsidR="00EF5D8B" w:rsidRPr="007B1F93" w:rsidRDefault="00EF5D8B" w:rsidP="007B1F93">
      <w:pPr>
        <w:spacing w:after="60"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spacing w:after="60"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spacing w:after="60" w:line="360" w:lineRule="auto"/>
        <w:rPr>
          <w:rFonts w:ascii="Arial" w:hAnsi="Arial" w:cs="Arial"/>
        </w:rPr>
      </w:pPr>
    </w:p>
    <w:p w:rsidR="00EF5D8B" w:rsidRPr="007B1F93" w:rsidRDefault="00EF5D8B" w:rsidP="007B1F93">
      <w:pPr>
        <w:spacing w:after="60" w:line="360" w:lineRule="auto"/>
        <w:rPr>
          <w:rFonts w:ascii="Arial" w:hAnsi="Arial" w:cs="Arial"/>
        </w:rPr>
        <w:sectPr w:rsidR="00EF5D8B" w:rsidRPr="007B1F93" w:rsidSect="00D363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5D8B" w:rsidRPr="007B1F93" w:rsidRDefault="00EF5D8B" w:rsidP="007B1F9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7B1F93">
        <w:rPr>
          <w:rFonts w:ascii="Arial" w:hAnsi="Arial" w:cs="Arial"/>
          <w:b/>
          <w:bCs/>
          <w:color w:val="2F5496"/>
          <w:sz w:val="24"/>
          <w:szCs w:val="24"/>
        </w:rPr>
        <w:t>Część szczegółowa</w:t>
      </w:r>
    </w:p>
    <w:tbl>
      <w:tblPr>
        <w:tblW w:w="157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137"/>
        <w:gridCol w:w="3184"/>
        <w:gridCol w:w="2997"/>
        <w:gridCol w:w="1788"/>
        <w:gridCol w:w="1888"/>
        <w:gridCol w:w="1835"/>
        <w:gridCol w:w="1788"/>
        <w:gridCol w:w="1113"/>
      </w:tblGrid>
      <w:tr w:rsidR="00EF5D8B" w:rsidRPr="007B1F93" w:rsidTr="009213AA">
        <w:tc>
          <w:tcPr>
            <w:tcW w:w="1137" w:type="dxa"/>
            <w:tcBorders>
              <w:righ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Część lekcji</w:t>
            </w:r>
          </w:p>
        </w:tc>
        <w:tc>
          <w:tcPr>
            <w:tcW w:w="3184" w:type="dxa"/>
            <w:tcBorders>
              <w:left w:val="nil"/>
              <w:righ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nauczyciela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ucznia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Metody</w:t>
            </w: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Formy</w:t>
            </w:r>
          </w:p>
        </w:tc>
        <w:tc>
          <w:tcPr>
            <w:tcW w:w="1835" w:type="dxa"/>
            <w:tcBorders>
              <w:left w:val="nil"/>
              <w:righ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dydaktyczne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Korelacja </w:t>
            </w:r>
            <w:r w:rsidRPr="007B1F9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z edukacją szkolną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EF5D8B" w:rsidRPr="007B1F93" w:rsidTr="009213AA">
        <w:trPr>
          <w:trHeight w:val="1134"/>
        </w:trPr>
        <w:tc>
          <w:tcPr>
            <w:tcW w:w="1137" w:type="dxa"/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</w:rPr>
              <w:t>Wstępna</w:t>
            </w:r>
          </w:p>
        </w:tc>
        <w:tc>
          <w:tcPr>
            <w:tcW w:w="3184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Przywitanie uczniów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Prośba o przygotowanie się do lekcji (przygotowanie zeszytów i piórników)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Sprawdzenie obecności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Wpro</w:t>
            </w:r>
            <w:r>
              <w:rPr>
                <w:rFonts w:ascii="Arial" w:hAnsi="Arial" w:cs="Arial"/>
                <w:sz w:val="20"/>
                <w:szCs w:val="20"/>
              </w:rPr>
              <w:t>wadzenie do tematu lekcji (np. „I</w:t>
            </w:r>
            <w:r w:rsidRPr="007B1F93">
              <w:rPr>
                <w:rFonts w:ascii="Arial" w:hAnsi="Arial" w:cs="Arial"/>
                <w:sz w:val="20"/>
                <w:szCs w:val="20"/>
              </w:rPr>
              <w:t>dąc dzisiaj do was zastanawiałem/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1F93">
              <w:rPr>
                <w:rFonts w:ascii="Arial" w:hAnsi="Arial" w:cs="Arial"/>
                <w:sz w:val="20"/>
                <w:szCs w:val="20"/>
              </w:rPr>
              <w:t>am się, czego chce od nas Pan Bóg. Jak myślicie, gdzie znajdę odpowiedź na moje pytanie?</w:t>
            </w:r>
            <w:r>
              <w:rPr>
                <w:rFonts w:ascii="Arial" w:hAnsi="Arial" w:cs="Arial"/>
                <w:sz w:val="20"/>
                <w:szCs w:val="20"/>
              </w:rPr>
              <w:t>”...</w:t>
            </w:r>
            <w:r w:rsidRPr="007B1F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Ukazanie Pisma Świętego jako słowa Boga zapisanego przez ludzi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Odczytanie frag</w:t>
            </w:r>
            <w:r>
              <w:rPr>
                <w:rFonts w:ascii="Arial" w:hAnsi="Arial" w:cs="Arial"/>
                <w:sz w:val="20"/>
                <w:szCs w:val="20"/>
              </w:rPr>
              <w:t>mentu z Księgi Kapłańskiej (19,</w:t>
            </w:r>
            <w:r w:rsidRPr="007B1F93">
              <w:rPr>
                <w:rFonts w:ascii="Arial" w:hAnsi="Arial" w:cs="Arial"/>
                <w:sz w:val="20"/>
                <w:szCs w:val="20"/>
              </w:rPr>
              <w:t>2) lub poproszenie ucznia o odczytanie (wedle uznania)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7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Przywitanie nauczyciela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Przygotowanie się do lekcji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Potwierdzenie obecności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Wysłuchanie wprowadzenia i odpowiedź na zadane pytanie (w Biblii, Piśmie Świętym)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Wysłuchanie odczytywanego fragmentu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Praca z tekstem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Frontalna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B1F93">
              <w:rPr>
                <w:rFonts w:ascii="Arial" w:hAnsi="Arial" w:cs="Arial"/>
                <w:sz w:val="20"/>
                <w:szCs w:val="20"/>
              </w:rPr>
              <w:t>Prezentacja multimedialna (Prezi)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Pismo Święte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3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F5D8B" w:rsidRPr="007B1F93" w:rsidTr="009213AA">
        <w:tc>
          <w:tcPr>
            <w:tcW w:w="1137" w:type="dxa"/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</w:rPr>
              <w:t>Główna</w:t>
            </w:r>
          </w:p>
        </w:tc>
        <w:tc>
          <w:tcPr>
            <w:tcW w:w="3184" w:type="dxa"/>
            <w:shd w:val="clear" w:color="auto" w:fill="D9E2F3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Zadanie pytania: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B1F93">
              <w:rPr>
                <w:rFonts w:ascii="Arial" w:hAnsi="Arial" w:cs="Arial"/>
                <w:sz w:val="20"/>
                <w:szCs w:val="20"/>
              </w:rPr>
              <w:t>Co to znaczy być świętym?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Zapisywanie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B1F93">
              <w:rPr>
                <w:rFonts w:ascii="Arial" w:hAnsi="Arial" w:cs="Arial"/>
                <w:sz w:val="20"/>
                <w:szCs w:val="20"/>
              </w:rPr>
              <w:t>a tablicy udzielanych odpowiedzi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Podsumowanie burzy mózgów: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B1F93">
              <w:rPr>
                <w:rFonts w:ascii="Arial" w:hAnsi="Arial" w:cs="Arial"/>
                <w:sz w:val="20"/>
                <w:szCs w:val="20"/>
              </w:rPr>
              <w:t>Święty to zwykły niezwykły człowiek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B1F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Rozwinięcie sformułowania, którym nauczyciel zakończył burzę mózgów: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B1F93">
              <w:rPr>
                <w:rFonts w:ascii="Arial" w:hAnsi="Arial" w:cs="Arial"/>
                <w:sz w:val="20"/>
                <w:szCs w:val="20"/>
              </w:rPr>
              <w:t>Czemu zwykły? Ponieważ zachowuje się zwyczajnie, czyli tak jak powinien zachowywać się każdy, kto jest dobrze wychowany (jest dobry, uprzejmy, pomocny itd.); Czemu niezwykły? Ponieważ zwykły człowiek często, kiedy jest miły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liczy na to, że inni też tacy będą dla niego, a święty człowiek nie oczekuje niczego w zamian za swoje zachowanie. Pan Bóg obdarza nas dobrem za darmo, a święty człowiek naśladuje w tym Pana Boga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Nauka piosenki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B1F93">
              <w:rPr>
                <w:rFonts w:ascii="Arial" w:hAnsi="Arial" w:cs="Arial"/>
                <w:sz w:val="20"/>
                <w:szCs w:val="20"/>
              </w:rPr>
              <w:t>Skarb” zespołu Małe TGD (nauczyciel wprowadza w tych lub podobnych słowach: nauczymy się teraz piosenki, która pokaże nam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jak bardzo kocha nas Pan Bóg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i obudzi w nas chęć byc</w:t>
            </w:r>
            <w:r>
              <w:rPr>
                <w:rFonts w:ascii="Arial" w:hAnsi="Arial" w:cs="Arial"/>
                <w:sz w:val="20"/>
                <w:szCs w:val="20"/>
              </w:rPr>
              <w:t>ia jak On, czyli kochania ludzi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bez oczekiwania czegokolwiek w zamian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B1F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Przypomnienie słów z piosenki: „Jeżeli Ty mnie tak kochasz, to ja też chcę tak kochać innych, najbardziej Ciebie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Modlitwa wdzięczności za bezinteresowną miłość Boga (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B1F93">
              <w:rPr>
                <w:rFonts w:ascii="Arial" w:hAnsi="Arial" w:cs="Arial"/>
                <w:sz w:val="20"/>
                <w:szCs w:val="20"/>
              </w:rPr>
              <w:t>Ojcze nasz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B1F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Rozdanie małych kolorowych karteczek (po 1 każdemu uczniowi)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Polecenie zastanowienia się, co konkretnie dobrego mogę już dziś zrobić dla kogoś (kolegów, dziadków, rodziców) bez oczekiwania na odwdzięczenie się, zapisania tego na kartce lub narysowania (w młodszych klasach) i schowania w piórniku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E2F3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Burza mózgów i odpowiadanie na zadane pytanie (być świętym to być: dobrym, kochającym, uprzejmym itp.)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Wysłuchanie pogadanki nauczyciela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Nauka piosenki „Skarb” zespołu Małe TGD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Modlitwa (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7B1F93">
              <w:rPr>
                <w:rFonts w:ascii="Arial" w:hAnsi="Arial" w:cs="Arial"/>
                <w:sz w:val="20"/>
                <w:szCs w:val="20"/>
              </w:rPr>
              <w:t>Ojcze nasz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7B1F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Zastanowienie się, co konkretnie dobrego mogę już dziś zrobić dla kogoś (kolegów, dziadków, rodziców) bez oczekiwania na odwdzięczenie się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zapisanie tego na kartce lub narysowanie (w młodszych klasach) i schowanie w piórniku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D9E2F3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Burza mózgów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Pogadanka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Śpiewanie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Modlitwa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Kreatywne indywidualne myślenie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Pisanie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  <w:shd w:val="clear" w:color="auto" w:fill="D9E2F3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Frontalna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Indywidualna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D9E2F3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Prezentacja multimedialna (Prezi)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Tablica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Serwis You</w:t>
            </w:r>
            <w:r w:rsidRPr="007B1F93">
              <w:rPr>
                <w:rFonts w:ascii="Arial" w:hAnsi="Arial" w:cs="Arial"/>
                <w:sz w:val="20"/>
                <w:szCs w:val="20"/>
              </w:rPr>
              <w:t>Tube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Małe kolorowe karteczki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D9E2F3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Muzyka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3" w:type="dxa"/>
            <w:shd w:val="clear" w:color="auto" w:fill="D9E2F3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F5D8B" w:rsidRPr="007B1F93" w:rsidTr="009213AA">
        <w:trPr>
          <w:trHeight w:val="1134"/>
        </w:trPr>
        <w:tc>
          <w:tcPr>
            <w:tcW w:w="1137" w:type="dxa"/>
            <w:shd w:val="clear" w:color="auto" w:fill="4472C4"/>
          </w:tcPr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B1F93">
              <w:rPr>
                <w:rFonts w:ascii="Arial" w:hAnsi="Arial" w:cs="Arial"/>
                <w:b/>
                <w:bCs/>
                <w:color w:val="FFFFFF"/>
                <w:sz w:val="20"/>
              </w:rPr>
              <w:t>Końcowa</w:t>
            </w:r>
          </w:p>
        </w:tc>
        <w:tc>
          <w:tcPr>
            <w:tcW w:w="3184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 Wyjaśnienie uczniom, że wśród ludzi byli tacy, którym udało się żyć tak jak śpiewaliśmy w piosence. Jednym z nich jest ks. Jan Macha, człowiek, który żył nie tak dawno i nie tak daleko (1914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B1F93">
              <w:rPr>
                <w:rFonts w:ascii="Arial" w:hAnsi="Arial" w:cs="Arial"/>
                <w:sz w:val="20"/>
                <w:szCs w:val="20"/>
              </w:rPr>
              <w:t>1942, Chorzów-Ruda Śląska)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B1F93">
              <w:rPr>
                <w:rFonts w:ascii="Arial" w:hAnsi="Arial" w:cs="Arial"/>
                <w:sz w:val="20"/>
                <w:szCs w:val="20"/>
              </w:rPr>
              <w:t xml:space="preserve">Polecenie znalezienia w domu w internecie fotografii ks. Jana Machy, wydrukowanie jej lub narysowanie go na podstawie zdjęcia i przyniesienie na następną lekcję.  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–</w:t>
            </w:r>
            <w:r w:rsidRPr="007B1F93">
              <w:rPr>
                <w:rFonts w:ascii="Arial" w:hAnsi="Arial" w:cs="Arial"/>
                <w:sz w:val="20"/>
              </w:rPr>
              <w:t xml:space="preserve"> Wysłuchanie krótkiego zarysu życia ks. Jana Machy (czas i miejsca)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–</w:t>
            </w:r>
            <w:r w:rsidRPr="007B1F93">
              <w:rPr>
                <w:rFonts w:ascii="Arial" w:hAnsi="Arial" w:cs="Arial"/>
                <w:sz w:val="20"/>
              </w:rPr>
              <w:t xml:space="preserve"> Zapisanie polecenia do wykonania w domu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8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–</w:t>
            </w:r>
            <w:r w:rsidRPr="007B1F93">
              <w:rPr>
                <w:rFonts w:ascii="Arial" w:hAnsi="Arial" w:cs="Arial"/>
                <w:sz w:val="20"/>
              </w:rPr>
              <w:t xml:space="preserve"> Pogadanka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88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–</w:t>
            </w:r>
            <w:r w:rsidRPr="007B1F93">
              <w:rPr>
                <w:rFonts w:ascii="Arial" w:hAnsi="Arial" w:cs="Arial"/>
                <w:sz w:val="20"/>
              </w:rPr>
              <w:t xml:space="preserve"> Frontalna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35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–</w:t>
            </w:r>
            <w:r w:rsidRPr="007B1F93">
              <w:rPr>
                <w:rFonts w:ascii="Arial" w:hAnsi="Arial" w:cs="Arial"/>
                <w:sz w:val="20"/>
              </w:rPr>
              <w:t xml:space="preserve"> Prezentacja multimedialna (Prezi)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8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–</w:t>
            </w:r>
            <w:r w:rsidRPr="007B1F93">
              <w:rPr>
                <w:rFonts w:ascii="Arial" w:hAnsi="Arial" w:cs="Arial"/>
                <w:sz w:val="20"/>
              </w:rPr>
              <w:t xml:space="preserve"> Język polski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3" w:type="dxa"/>
            <w:shd w:val="clear" w:color="auto" w:fill="B4C6E7"/>
          </w:tcPr>
          <w:p w:rsidR="00EF5D8B" w:rsidRPr="007B1F93" w:rsidRDefault="00EF5D8B" w:rsidP="007B1F9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EF5D8B" w:rsidRPr="007B1F93" w:rsidRDefault="00EF5D8B" w:rsidP="007B1F93">
      <w:pPr>
        <w:spacing w:line="360" w:lineRule="auto"/>
        <w:rPr>
          <w:rFonts w:ascii="Arial" w:hAnsi="Arial" w:cs="Arial"/>
        </w:rPr>
      </w:pPr>
    </w:p>
    <w:sectPr w:rsidR="00EF5D8B" w:rsidRPr="007B1F93" w:rsidSect="00857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F"/>
    <w:multiLevelType w:val="hybridMultilevel"/>
    <w:tmpl w:val="DD9E94E4"/>
    <w:lvl w:ilvl="0" w:tplc="553AF0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CD3BFD"/>
    <w:multiLevelType w:val="hybridMultilevel"/>
    <w:tmpl w:val="51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7593D"/>
    <w:multiLevelType w:val="hybridMultilevel"/>
    <w:tmpl w:val="837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11D44"/>
    <w:multiLevelType w:val="hybridMultilevel"/>
    <w:tmpl w:val="DF124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34"/>
    <w:rsid w:val="00026EAF"/>
    <w:rsid w:val="000F2434"/>
    <w:rsid w:val="00114284"/>
    <w:rsid w:val="001E4131"/>
    <w:rsid w:val="00227F36"/>
    <w:rsid w:val="002E7D78"/>
    <w:rsid w:val="0041468A"/>
    <w:rsid w:val="005A2315"/>
    <w:rsid w:val="00662D2D"/>
    <w:rsid w:val="006D4A9C"/>
    <w:rsid w:val="00755E59"/>
    <w:rsid w:val="007B1F93"/>
    <w:rsid w:val="00811FC5"/>
    <w:rsid w:val="0085703A"/>
    <w:rsid w:val="009213AA"/>
    <w:rsid w:val="009667B7"/>
    <w:rsid w:val="00B235DC"/>
    <w:rsid w:val="00C606AA"/>
    <w:rsid w:val="00C61B50"/>
    <w:rsid w:val="00D3638E"/>
    <w:rsid w:val="00DB5C1B"/>
    <w:rsid w:val="00EF5D8B"/>
    <w:rsid w:val="00F25717"/>
    <w:rsid w:val="00F6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7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D2D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D2D"/>
    <w:rPr>
      <w:rFonts w:ascii="Arial Black" w:hAnsi="Arial Black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0F2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uiPriority w:val="99"/>
    <w:rsid w:val="00662D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paragraph" w:styleId="ListParagraph">
    <w:name w:val="List Paragraph"/>
    <w:basedOn w:val="Normal"/>
    <w:uiPriority w:val="99"/>
    <w:qFormat/>
    <w:rsid w:val="00662D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638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63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748</Words>
  <Characters>4489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Dawid</dc:creator>
  <cp:keywords/>
  <dc:description/>
  <cp:lastModifiedBy>xMarek Gancarczyk</cp:lastModifiedBy>
  <cp:revision>7</cp:revision>
  <dcterms:created xsi:type="dcterms:W3CDTF">2021-09-24T09:33:00Z</dcterms:created>
  <dcterms:modified xsi:type="dcterms:W3CDTF">2021-10-06T07:56:00Z</dcterms:modified>
</cp:coreProperties>
</file>